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621DD">
      <w:pPr>
        <w:jc w:val="center"/>
        <w:rPr>
          <w:rFonts w:hint="eastAsia" w:ascii="宋体" w:hAnsi="宋体" w:eastAsia="宋体" w:cs="宋体"/>
          <w:b/>
          <w:bCs/>
          <w:sz w:val="44"/>
          <w:szCs w:val="44"/>
        </w:rPr>
      </w:pPr>
      <w:r>
        <w:rPr>
          <w:rFonts w:hint="eastAsia" w:ascii="宋体" w:hAnsi="宋体" w:eastAsia="宋体" w:cs="宋体"/>
          <w:b/>
          <w:bCs/>
          <w:sz w:val="44"/>
          <w:szCs w:val="44"/>
        </w:rPr>
        <w:t>北京中医医院内蒙古医院</w:t>
      </w:r>
    </w:p>
    <w:p w14:paraId="0822410F">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网络</w:t>
      </w:r>
      <w:r>
        <w:rPr>
          <w:rFonts w:hint="eastAsia" w:ascii="宋体" w:hAnsi="宋体" w:eastAsia="宋体" w:cs="宋体"/>
          <w:b/>
          <w:bCs/>
          <w:sz w:val="44"/>
          <w:szCs w:val="44"/>
        </w:rPr>
        <w:t>安全服务</w:t>
      </w:r>
      <w:r>
        <w:rPr>
          <w:rFonts w:hint="eastAsia" w:ascii="宋体" w:hAnsi="宋体" w:eastAsia="宋体" w:cs="宋体"/>
          <w:b/>
          <w:bCs/>
          <w:sz w:val="44"/>
          <w:szCs w:val="44"/>
          <w:lang w:val="en-US" w:eastAsia="zh-CN"/>
        </w:rPr>
        <w:t>采购项目服务内容</w:t>
      </w:r>
    </w:p>
    <w:p w14:paraId="672646D8">
      <w:pPr>
        <w:rPr>
          <w:rFonts w:hint="eastAsia" w:ascii="仿宋" w:hAnsi="仿宋" w:eastAsia="仿宋" w:cs="仿宋"/>
          <w:sz w:val="24"/>
          <w:szCs w:val="24"/>
          <w:lang w:eastAsia="zh-CN"/>
        </w:rPr>
      </w:pPr>
    </w:p>
    <w:p w14:paraId="16F0166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b/>
          <w:sz w:val="28"/>
          <w:szCs w:val="28"/>
          <w:lang w:val="en-US" w:eastAsia="zh-CN"/>
        </w:rPr>
      </w:pPr>
      <w:r>
        <w:rPr>
          <w:rFonts w:hint="eastAsia" w:ascii="宋体" w:hAnsi="宋体" w:eastAsia="宋体" w:cs="宋体"/>
          <w:b w:val="0"/>
          <w:bCs/>
          <w:sz w:val="28"/>
          <w:szCs w:val="28"/>
          <w:lang w:val="en-US" w:eastAsia="zh-CN"/>
        </w:rPr>
        <w:t>下表所列内容，</w:t>
      </w:r>
      <w:r>
        <w:rPr>
          <w:rFonts w:hint="eastAsia" w:ascii="宋体" w:hAnsi="宋体" w:eastAsia="宋体" w:cs="宋体"/>
          <w:b w:val="0"/>
          <w:bCs/>
          <w:sz w:val="28"/>
          <w:szCs w:val="28"/>
        </w:rPr>
        <w:t>定期开展的安全服务</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原则上是每季度一次，全年总服务次数不低于四次。</w:t>
      </w:r>
      <w:r>
        <w:rPr>
          <w:rFonts w:hint="eastAsia" w:ascii="宋体" w:hAnsi="宋体" w:eastAsia="宋体" w:cs="宋体"/>
          <w:b w:val="0"/>
          <w:bCs/>
          <w:sz w:val="28"/>
          <w:szCs w:val="28"/>
          <w:lang w:val="en-US" w:eastAsia="zh-CN"/>
        </w:rPr>
        <w:t>如果各级卫健部门、网络安全部门、公安局等有新的政策要求漏洞扫描、渗透测试等安全保障措施每月进行一次，供方应满足新的政策要求。</w:t>
      </w:r>
    </w:p>
    <w:tbl>
      <w:tblPr>
        <w:tblStyle w:val="40"/>
        <w:tblW w:w="4976" w:type="pct"/>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ayout w:type="autofit"/>
        <w:tblCellMar>
          <w:top w:w="0" w:type="dxa"/>
          <w:left w:w="144" w:type="dxa"/>
          <w:bottom w:w="0" w:type="dxa"/>
          <w:right w:w="144" w:type="dxa"/>
        </w:tblCellMar>
      </w:tblPr>
      <w:tblGrid>
        <w:gridCol w:w="816"/>
        <w:gridCol w:w="1186"/>
        <w:gridCol w:w="5402"/>
        <w:gridCol w:w="1149"/>
      </w:tblGrid>
      <w:tr w14:paraId="144E9694">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A98F21">
            <w:pPr>
              <w:snapToGrid w:val="0"/>
              <w:spacing w:before="0" w:after="0"/>
              <w:jc w:val="center"/>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服务类别</w:t>
            </w: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15EE8C">
            <w:pPr>
              <w:snapToGrid w:val="0"/>
              <w:spacing w:before="0" w:after="0"/>
              <w:jc w:val="center"/>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服务</w:t>
            </w:r>
          </w:p>
          <w:p w14:paraId="6D84B041">
            <w:pPr>
              <w:snapToGrid w:val="0"/>
              <w:spacing w:before="0" w:after="0"/>
              <w:jc w:val="center"/>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名称</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43D10B">
            <w:pPr>
              <w:snapToGrid w:val="0"/>
              <w:spacing w:before="0" w:after="0"/>
              <w:jc w:val="center"/>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服务内容</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C24550">
            <w:pPr>
              <w:snapToGrid w:val="0"/>
              <w:spacing w:before="0" w:after="0"/>
              <w:jc w:val="center"/>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备注</w:t>
            </w:r>
          </w:p>
        </w:tc>
      </w:tr>
      <w:tr w14:paraId="1F817F03">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E7221F">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基础安全</w:t>
            </w: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8652D4">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定制安全通告</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5AA15E">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实时关注安全动态，为客户精心提供安全通告服务。该通告包括安全漏洞(补丁)通告、安全威胁通告、安全业界动态、恶意代码防范、紧急通告等多项内容。</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58A3DC">
            <w:pPr>
              <w:snapToGrid w:val="0"/>
              <w:spacing w:before="0" w:after="0"/>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定期</w:t>
            </w:r>
          </w:p>
        </w:tc>
      </w:tr>
      <w:tr w14:paraId="3A24DC30">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1465" w:hRule="atLeast"/>
        </w:trPr>
        <w:tc>
          <w:tcPr>
            <w:tcW w:w="47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F9FC5F">
            <w:pPr>
              <w:snapToGrid w:val="0"/>
              <w:spacing w:before="0" w:after="0"/>
              <w:rPr>
                <w:rFonts w:hint="eastAsia" w:ascii="等线" w:hAnsi="等线" w:eastAsia="等线" w:cs="等线"/>
                <w:color w:val="auto"/>
                <w:sz w:val="24"/>
                <w:szCs w:val="24"/>
                <w:lang w:val="zh-CN"/>
              </w:rPr>
            </w:pP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53841F">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安全巡检服务</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8B5241">
            <w:pPr>
              <w:snapToGrid w:val="0"/>
              <w:spacing w:before="0" w:after="0"/>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zh-CN"/>
              </w:rPr>
              <w:t>检查内容包括机房所有安全设备（系统）运行情况及审计日志分析、验证、重要服务器端口状况扫描、端口监听检查、用户列表检查、进程检查、病毒检查、系统木马检查等安全检查与分析工作。</w:t>
            </w:r>
            <w:r>
              <w:rPr>
                <w:rFonts w:hint="eastAsia" w:ascii="等线" w:hAnsi="等线" w:eastAsia="等线" w:cs="等线"/>
                <w:color w:val="auto"/>
                <w:sz w:val="24"/>
                <w:szCs w:val="24"/>
                <w:lang w:val="en-US" w:eastAsia="zh-CN"/>
              </w:rPr>
              <w:t>出具巡检报告。</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8F3E48">
            <w:pPr>
              <w:snapToGrid w:val="0"/>
              <w:spacing w:before="0" w:after="0"/>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每月一次</w:t>
            </w:r>
          </w:p>
        </w:tc>
      </w:tr>
      <w:tr w14:paraId="6EE83DCA">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C0D4D6">
            <w:pPr>
              <w:snapToGrid w:val="0"/>
              <w:spacing w:before="0" w:after="0"/>
              <w:rPr>
                <w:rFonts w:hint="eastAsia" w:ascii="等线" w:hAnsi="等线" w:eastAsia="等线" w:cs="等线"/>
                <w:color w:val="auto"/>
                <w:sz w:val="24"/>
                <w:szCs w:val="24"/>
                <w:lang w:val="zh-CN"/>
              </w:rPr>
            </w:pP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61A21B">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安全漏洞评估</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2BDE2B">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使用多厂商远程漏洞评估产品，检测网络设备、操作系统、数据库和应用服务中存在的安全漏洞，提供漏洞评估报告和修复建议。</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FF8A50">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en-US" w:eastAsia="zh-CN"/>
              </w:rPr>
              <w:t>定期</w:t>
            </w:r>
          </w:p>
        </w:tc>
      </w:tr>
      <w:tr w14:paraId="109B796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C0CA78">
            <w:pPr>
              <w:snapToGrid w:val="0"/>
              <w:spacing w:before="0" w:after="0"/>
              <w:rPr>
                <w:rFonts w:hint="eastAsia" w:ascii="等线" w:hAnsi="等线" w:eastAsia="等线" w:cs="等线"/>
                <w:color w:val="auto"/>
                <w:sz w:val="24"/>
                <w:szCs w:val="24"/>
                <w:lang w:val="zh-CN"/>
              </w:rPr>
            </w:pP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9BE4C0">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安全配置评估</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790F2A">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使用多厂商安全配置核查产品或人工方式，对系统网络设备、操作系统、数据库和应用服务器的配置进行安全检查，提供安全配置评估报告和改进建议。</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611F38">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en-US" w:eastAsia="zh-CN"/>
              </w:rPr>
              <w:t>定期</w:t>
            </w:r>
          </w:p>
        </w:tc>
      </w:tr>
      <w:tr w14:paraId="32C485B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1115" w:hRule="atLeast"/>
        </w:trPr>
        <w:tc>
          <w:tcPr>
            <w:tcW w:w="47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E1E9E5">
            <w:pPr>
              <w:snapToGrid w:val="0"/>
              <w:spacing w:before="0" w:after="0"/>
              <w:rPr>
                <w:rFonts w:hint="eastAsia" w:ascii="等线" w:hAnsi="等线" w:eastAsia="等线" w:cs="等线"/>
                <w:color w:val="auto"/>
                <w:sz w:val="24"/>
                <w:szCs w:val="24"/>
                <w:lang w:val="zh-CN"/>
              </w:rPr>
            </w:pP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F8D600">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恶意样本分析</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778346">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人工方式检测操作系统和应用中是否存在恶意样本，分析样本的访问行为，评估对系统的影响，提供安全分析报告和清除方法。</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F61B93">
            <w:pPr>
              <w:snapToGrid w:val="0"/>
              <w:spacing w:before="0" w:after="0"/>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按需</w:t>
            </w:r>
          </w:p>
        </w:tc>
      </w:tr>
      <w:tr w14:paraId="0EF8937F">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1190" w:hRule="atLeast"/>
        </w:trPr>
        <w:tc>
          <w:tcPr>
            <w:tcW w:w="47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DB96E8">
            <w:pPr>
              <w:snapToGrid w:val="0"/>
              <w:spacing w:before="0" w:after="0"/>
              <w:rPr>
                <w:rFonts w:hint="eastAsia" w:ascii="等线" w:hAnsi="等线" w:eastAsia="等线" w:cs="等线"/>
                <w:color w:val="auto"/>
                <w:sz w:val="24"/>
                <w:szCs w:val="24"/>
                <w:lang w:val="zh-CN"/>
              </w:rPr>
            </w:pP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1EA62D">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日志安全分析</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153894">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对各类系统（IDS、WEB服务器等）产生的日志进行数据分析，及时发现攻击事件和可疑行为，提供日志分析报告。</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21043B">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en-US" w:eastAsia="zh-CN"/>
              </w:rPr>
              <w:t>定期</w:t>
            </w:r>
          </w:p>
        </w:tc>
      </w:tr>
      <w:tr w14:paraId="594B6124">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1143" w:hRule="atLeast"/>
        </w:trPr>
        <w:tc>
          <w:tcPr>
            <w:tcW w:w="47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4CACE5">
            <w:pPr>
              <w:snapToGrid w:val="0"/>
              <w:spacing w:before="0" w:after="0"/>
              <w:rPr>
                <w:rFonts w:hint="eastAsia" w:ascii="等线" w:hAnsi="等线" w:eastAsia="等线" w:cs="等线"/>
                <w:color w:val="auto"/>
                <w:sz w:val="24"/>
                <w:szCs w:val="24"/>
                <w:lang w:val="zh-CN"/>
              </w:rPr>
            </w:pP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0AF3BE">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紧急响应</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DC072CC">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远程或现场方式及时响应和处理信息安全事件，协助客户降低影响，分析问题产生的原因，提供应急响应报告和改进建议。</w:t>
            </w:r>
            <w:bookmarkStart w:id="0" w:name="_GoBack"/>
            <w:bookmarkEnd w:id="0"/>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D6DFAC">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有紧急事件时响应</w:t>
            </w:r>
          </w:p>
        </w:tc>
      </w:tr>
      <w:tr w14:paraId="441998C5">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727AED">
            <w:pPr>
              <w:snapToGrid w:val="0"/>
              <w:spacing w:before="0" w:after="0"/>
              <w:rPr>
                <w:rFonts w:hint="eastAsia" w:ascii="等线" w:hAnsi="等线" w:eastAsia="等线" w:cs="等线"/>
                <w:color w:val="auto"/>
                <w:sz w:val="24"/>
                <w:szCs w:val="24"/>
                <w:lang w:val="zh-CN"/>
              </w:rPr>
            </w:pP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D94263">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en-US" w:eastAsia="zh-CN"/>
              </w:rPr>
              <w:t>网络维护和优化</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1EF149">
            <w:pPr>
              <w:snapToGrid w:val="0"/>
              <w:spacing w:before="0" w:after="0"/>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zh-CN"/>
              </w:rPr>
              <w:t>远程或现场方式及时响应和处理</w:t>
            </w:r>
            <w:r>
              <w:rPr>
                <w:rFonts w:hint="eastAsia" w:ascii="等线" w:hAnsi="等线" w:eastAsia="等线" w:cs="等线"/>
                <w:color w:val="auto"/>
                <w:sz w:val="24"/>
                <w:szCs w:val="24"/>
                <w:lang w:val="en-US" w:eastAsia="zh-CN"/>
              </w:rPr>
              <w:t>网络优化、网络卡顿分析和解决、设备配置（包括在保和过保的设备）</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EF702D">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en-US" w:eastAsia="zh-CN"/>
              </w:rPr>
              <w:t>按需</w:t>
            </w:r>
          </w:p>
        </w:tc>
      </w:tr>
      <w:tr w14:paraId="3E56E21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A9A313">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应用安全</w:t>
            </w: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4D34D3">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渗透测试</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51845D">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通过人工黑盒的测试方式，发现网络和业务系统中网络和系统存在的安全缺陷，提供渗透测试报告和改进建议。</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CB61B0">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en-US" w:eastAsia="zh-CN"/>
              </w:rPr>
              <w:t>定期</w:t>
            </w:r>
          </w:p>
        </w:tc>
      </w:tr>
      <w:tr w14:paraId="74312424">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96A6D7">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预防</w:t>
            </w: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B16806">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开放端口检查</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33A01">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通过扫描方式对客户开放的端口、服务进行检查，识别客户对外提供服务的真实情况。</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BDBA7A">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en-US" w:eastAsia="zh-CN"/>
              </w:rPr>
              <w:t>定期</w:t>
            </w:r>
          </w:p>
        </w:tc>
      </w:tr>
      <w:tr w14:paraId="76A30CF2">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6FAA3B">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监测</w:t>
            </w: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DB3AC8">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网站安全监测</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01C91C">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通过互联网监控的方式，对客户网站进行托管式安全检测服务。当监测到用户网站遇到风险状况后，安全专家会在第一时间确认并通知用户，同时提供专业的解决方案建议。该服务内容包括远程网站漏洞扫描、网页木马监测、网页敏感内容监测、篡改监测、平稳度监测等。</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573B16">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实时监测</w:t>
            </w:r>
          </w:p>
        </w:tc>
      </w:tr>
      <w:tr w14:paraId="1329326C">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015924">
            <w:pPr>
              <w:snapToGrid w:val="0"/>
              <w:spacing w:before="0" w:after="0"/>
              <w:rPr>
                <w:rFonts w:hint="eastAsia" w:ascii="等线" w:hAnsi="等线" w:eastAsia="等线" w:cs="等线"/>
                <w:color w:val="auto"/>
                <w:sz w:val="24"/>
                <w:szCs w:val="24"/>
                <w:lang w:val="zh-CN"/>
              </w:rPr>
            </w:pP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B1BCA0">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威胁检测</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FE1C91">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通过全网安全监测与感知预警服务，发现弱点扫描、命令执行、注入攻击、跨站脚本、信息泄露、邮件钓鱼等相关风险行为。</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031287">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实时监测</w:t>
            </w:r>
          </w:p>
        </w:tc>
      </w:tr>
      <w:tr w14:paraId="530BF24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44" w:type="dxa"/>
            <w:bottom w:w="0" w:type="dxa"/>
            <w:right w:w="144" w:type="dxa"/>
          </w:tblCellMar>
        </w:tblPrEx>
        <w:trPr>
          <w:trHeight w:val="20" w:hRule="atLeast"/>
        </w:trPr>
        <w:tc>
          <w:tcPr>
            <w:tcW w:w="47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9E4A49">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鉴定</w:t>
            </w:r>
          </w:p>
        </w:tc>
        <w:tc>
          <w:tcPr>
            <w:tcW w:w="69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341383">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电子数据司法鉴定服务</w:t>
            </w:r>
          </w:p>
        </w:tc>
        <w:tc>
          <w:tcPr>
            <w:tcW w:w="315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C301A6">
            <w:pPr>
              <w:snapToGrid w:val="0"/>
              <w:spacing w:before="0" w:after="0"/>
              <w:rPr>
                <w:rFonts w:hint="eastAsia" w:ascii="等线" w:hAnsi="等线" w:eastAsia="等线" w:cs="等线"/>
                <w:color w:val="auto"/>
                <w:sz w:val="24"/>
                <w:szCs w:val="24"/>
                <w:lang w:val="zh-CN"/>
              </w:rPr>
            </w:pPr>
            <w:r>
              <w:rPr>
                <w:rFonts w:hint="eastAsia" w:ascii="等线" w:hAnsi="等线" w:eastAsia="等线" w:cs="等线"/>
                <w:color w:val="auto"/>
                <w:sz w:val="24"/>
                <w:szCs w:val="24"/>
                <w:lang w:val="zh-CN"/>
              </w:rPr>
              <w:t>对甲方重要信息系统在发生各类情况（包含但不限于故障、纠纷、投诉等等）需要开展电子数据司法鉴定的有关事宜在服务期内不限次数开展司法鉴定工作并出具具备法律效力的司法鉴定报告。</w:t>
            </w:r>
          </w:p>
        </w:tc>
        <w:tc>
          <w:tcPr>
            <w:tcW w:w="67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25399D">
            <w:pPr>
              <w:snapToGrid w:val="0"/>
              <w:spacing w:before="0" w:after="0"/>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按需</w:t>
            </w:r>
          </w:p>
        </w:tc>
      </w:tr>
    </w:tbl>
    <w:p w14:paraId="0A2AD497">
      <w:pPr>
        <w:snapToGrid w:val="0"/>
        <w:spacing w:before="0" w:after="0"/>
        <w:rPr>
          <w:rFonts w:hint="eastAsia" w:ascii="等线" w:hAnsi="等线" w:eastAsia="等线" w:cs="等线"/>
          <w:color w:val="auto"/>
          <w:sz w:val="24"/>
          <w:szCs w:val="24"/>
          <w:lang w:val="en-US" w:eastAsia="zh-CN"/>
        </w:rPr>
      </w:pPr>
    </w:p>
    <w:p w14:paraId="6DDA06A3">
      <w:pPr>
        <w:rPr>
          <w:rFonts w:hint="eastAsia" w:ascii="仿宋" w:hAnsi="仿宋" w:eastAsia="仿宋" w:cs="仿宋"/>
          <w:sz w:val="24"/>
          <w:szCs w:val="24"/>
          <w:lang w:val="en-US" w:eastAsia="zh-CN"/>
        </w:rPr>
      </w:pPr>
    </w:p>
    <w:p w14:paraId="40CD4F60">
      <w:pPr>
        <w:rPr>
          <w:rFonts w:hint="eastAsia" w:ascii="仿宋" w:hAnsi="仿宋" w:eastAsia="仿宋" w:cs="仿宋"/>
          <w:sz w:val="24"/>
          <w:szCs w:val="24"/>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5B"/>
    <w:rsid w:val="00071B5B"/>
    <w:rsid w:val="00127E6F"/>
    <w:rsid w:val="005C5D86"/>
    <w:rsid w:val="006A1FC6"/>
    <w:rsid w:val="00731999"/>
    <w:rsid w:val="007D7418"/>
    <w:rsid w:val="00A05DB6"/>
    <w:rsid w:val="00A22489"/>
    <w:rsid w:val="00AF12C1"/>
    <w:rsid w:val="00B00F97"/>
    <w:rsid w:val="00B25784"/>
    <w:rsid w:val="00CB586C"/>
    <w:rsid w:val="00DA607E"/>
    <w:rsid w:val="00ED45A2"/>
    <w:rsid w:val="01306338"/>
    <w:rsid w:val="03367AB9"/>
    <w:rsid w:val="0978425B"/>
    <w:rsid w:val="099B68C7"/>
    <w:rsid w:val="0BB22A46"/>
    <w:rsid w:val="1A7F29DC"/>
    <w:rsid w:val="1B0232FA"/>
    <w:rsid w:val="238A6C95"/>
    <w:rsid w:val="26B648E9"/>
    <w:rsid w:val="27E2170E"/>
    <w:rsid w:val="2CBC3A49"/>
    <w:rsid w:val="2DE81100"/>
    <w:rsid w:val="3ADD04F3"/>
    <w:rsid w:val="44D2197A"/>
    <w:rsid w:val="471274C2"/>
    <w:rsid w:val="4940213D"/>
    <w:rsid w:val="57BF4A8D"/>
    <w:rsid w:val="59406381"/>
    <w:rsid w:val="5C765997"/>
    <w:rsid w:val="60B82A30"/>
    <w:rsid w:val="633A6EA5"/>
    <w:rsid w:val="65355DF9"/>
    <w:rsid w:val="68FF38BD"/>
    <w:rsid w:val="6D934609"/>
    <w:rsid w:val="6EDD5C17"/>
    <w:rsid w:val="74A95AE6"/>
    <w:rsid w:val="7BC4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pPr>
    <w:rPr>
      <w:sz w:val="18"/>
      <w:szCs w:val="18"/>
    </w:rPr>
  </w:style>
  <w:style w:type="paragraph" w:styleId="12">
    <w:name w:val="header"/>
    <w:basedOn w:val="1"/>
    <w:link w:val="38"/>
    <w:unhideWhenUsed/>
    <w:qFormat/>
    <w:uiPriority w:val="99"/>
    <w:pPr>
      <w:tabs>
        <w:tab w:val="center" w:pos="4153"/>
        <w:tab w:val="right" w:pos="8306"/>
      </w:tabs>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table" w:customStyle="1" w:styleId="36">
    <w:name w:val="Table Normal"/>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rPr>
  </w:style>
  <w:style w:type="character" w:customStyle="1" w:styleId="38">
    <w:name w:val="页眉 字符"/>
    <w:basedOn w:val="17"/>
    <w:link w:val="12"/>
    <w:qFormat/>
    <w:uiPriority w:val="99"/>
    <w:rPr>
      <w:rFonts w:ascii="Arial" w:hAnsi="Arial" w:cs="Arial"/>
      <w:snapToGrid w:val="0"/>
      <w:color w:val="000000"/>
      <w:kern w:val="0"/>
      <w:sz w:val="18"/>
      <w:szCs w:val="18"/>
      <w:lang w:eastAsia="en-US"/>
    </w:rPr>
  </w:style>
  <w:style w:type="character" w:customStyle="1" w:styleId="39">
    <w:name w:val="页脚 字符"/>
    <w:basedOn w:val="17"/>
    <w:link w:val="11"/>
    <w:qFormat/>
    <w:uiPriority w:val="99"/>
    <w:rPr>
      <w:rFonts w:ascii="Arial" w:hAnsi="Arial" w:cs="Arial"/>
      <w:snapToGrid w:val="0"/>
      <w:color w:val="000000"/>
      <w:kern w:val="0"/>
      <w:sz w:val="18"/>
      <w:szCs w:val="18"/>
      <w:lang w:eastAsia="en-US"/>
    </w:rPr>
  </w:style>
  <w:style w:type="table" w:customStyle="1" w:styleId="40">
    <w:name w:val="提案表格"/>
    <w:basedOn w:val="15"/>
    <w:qFormat/>
    <w:uiPriority w:val="99"/>
    <w:pPr>
      <w:spacing w:before="120" w:after="120"/>
    </w:pPr>
    <w:rPr>
      <w:rFonts w:eastAsia="Times New Roman"/>
      <w:color w:val="404040" w:themeColor="text1" w:themeTint="BF"/>
      <w:sz w:val="18"/>
      <w14:textFill>
        <w14:solidFill>
          <w14:schemeClr w14:val="tx1">
            <w14:lumMod w14:val="75000"/>
            <w14:lumOff w14:val="25000"/>
          </w14:schemeClr>
        </w14:solidFill>
      </w14:textFill>
    </w:rPr>
    <w:tblPr>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left w:w="144" w:type="dxa"/>
        <w:right w:w="144" w:type="dxa"/>
      </w:tblCellMar>
    </w:tblPr>
    <w:tblStylePr w:type="firstRow">
      <w:pPr>
        <w:wordWrap/>
      </w:pPr>
      <w:rPr>
        <w:b/>
        <w:color w:val="404040" w:themeColor="text1" w:themeTint="BF"/>
        <w14:textFill>
          <w14:solidFill>
            <w14:schemeClr w14:val="tx1">
              <w14:lumMod w14:val="75000"/>
              <w14:lumOff w14:val="25000"/>
            </w14:schemeClr>
          </w14:solidFill>
        </w14:textFill>
      </w:rPr>
      <w:tcPr>
        <w:shd w:val="clear" w:color="auto" w:fill="D9E2F3" w:themeFill="accent1" w:themeFillTint="33"/>
        <w:vAlign w:val="bottom"/>
      </w:tcPr>
    </w:tblStylePr>
    <w:tblStylePr w:type="lastRow">
      <w:rPr>
        <w:b/>
        <w:color w:val="FFFFFF" w:themeColor="background1"/>
        <w14:textFill>
          <w14:solidFill>
            <w14:schemeClr w14:val="bg1"/>
          </w14:solidFill>
        </w14:textFill>
      </w:rPr>
      <w:tcPr>
        <w:shd w:val="clear" w:color="auto" w:fill="4472C4" w:themeFill="accent1"/>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1330</Words>
  <Characters>1341</Characters>
  <Lines>79</Lines>
  <Paragraphs>85</Paragraphs>
  <TotalTime>48</TotalTime>
  <ScaleCrop>false</ScaleCrop>
  <LinksUpToDate>false</LinksUpToDate>
  <CharactersWithSpaces>1342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2025-04-15T04:36:00Z</dcterms:created>
  <dc:creator>Administrator</dc:creator>
  <cp:lastModifiedBy>WPS_123344619</cp:lastModifiedBy>
  <dcterms:modified xsi:type="dcterms:W3CDTF">2026-06-03T07:55:30Z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eyJoZGlkIjoiMmU3YjI5N2E1Yzk5NWQ2MDczN2NhMTg1MjQ2ODQyOTIiLCJ1c2VySWQiOiIxMjMzNDQ2MTkifQ==</vt:lpwstr>
  </property>
  <property fmtid="{D5CDD505-2E9C-101B-9397-08002B2CF9AE}" pid="3" name="KSOProductBuildVer">
    <vt:lpwstr>2052-12.1.0.26375</vt:lpwstr>
  </property>
  <property fmtid="{D5CDD505-2E9C-101B-9397-08002B2CF9AE}" pid="4" name="ICV">
    <vt:lpwstr>2B1DCE2B87184B219C115B69A6F90522_13</vt:lpwstr>
  </property>
</Properties>
</file>